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bookmarkStart w:id="0" w:name="_GoBack"/>
      <w:bookmarkEnd w:id="0"/>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jc w:val="center"/>
        <w:rPr>
          <w:color w:val="1C1E29"/>
        </w:rPr>
      </w:pPr>
    </w:p>
    <w:p w:rsidR="00BD68EB" w:rsidRPr="00BD68EB" w:rsidRDefault="00BD68EB" w:rsidP="00BD68EB">
      <w:pPr>
        <w:pStyle w:val="NormalWeb"/>
        <w:spacing w:before="0" w:beforeAutospacing="0" w:after="0" w:afterAutospacing="0" w:line="480" w:lineRule="auto"/>
        <w:jc w:val="center"/>
        <w:rPr>
          <w:color w:val="1C1E29"/>
        </w:rPr>
      </w:pPr>
      <w:r w:rsidRPr="00BD68EB">
        <w:rPr>
          <w:color w:val="1C1E29"/>
        </w:rPr>
        <w:t>Special Education Experience</w:t>
      </w:r>
    </w:p>
    <w:p w:rsidR="00BD68EB" w:rsidRPr="00BD68EB" w:rsidRDefault="00BD68EB" w:rsidP="00BD68EB">
      <w:pPr>
        <w:pStyle w:val="NormalWeb"/>
        <w:spacing w:before="0" w:beforeAutospacing="0" w:after="0" w:afterAutospacing="0" w:line="480" w:lineRule="auto"/>
        <w:jc w:val="center"/>
        <w:rPr>
          <w:color w:val="1C1E29"/>
        </w:rPr>
      </w:pPr>
      <w:r w:rsidRPr="00BD68EB">
        <w:rPr>
          <w:color w:val="1C1E29"/>
        </w:rPr>
        <w:t>Name.</w:t>
      </w:r>
    </w:p>
    <w:p w:rsidR="00BD68EB" w:rsidRPr="00BD68EB" w:rsidRDefault="00BD68EB" w:rsidP="00BD68EB">
      <w:pPr>
        <w:pStyle w:val="NormalWeb"/>
        <w:spacing w:before="0" w:beforeAutospacing="0" w:after="0" w:afterAutospacing="0" w:line="480" w:lineRule="auto"/>
        <w:jc w:val="center"/>
        <w:rPr>
          <w:color w:val="1C1E29"/>
        </w:rPr>
      </w:pPr>
      <w:r w:rsidRPr="00BD68EB">
        <w:rPr>
          <w:color w:val="1C1E29"/>
        </w:rPr>
        <w:t>Institution.</w:t>
      </w:r>
    </w:p>
    <w:p w:rsidR="00BD68EB" w:rsidRPr="00BD68EB" w:rsidRDefault="00BD68EB" w:rsidP="00BD68EB">
      <w:pPr>
        <w:pStyle w:val="NormalWeb"/>
        <w:spacing w:before="0" w:beforeAutospacing="0" w:after="0" w:afterAutospacing="0" w:line="480" w:lineRule="auto"/>
        <w:jc w:val="center"/>
        <w:rPr>
          <w:color w:val="1C1E29"/>
        </w:rPr>
      </w:pPr>
      <w:r w:rsidRPr="00BD68EB">
        <w:rPr>
          <w:color w:val="1C1E29"/>
        </w:rPr>
        <w:t>Date.</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55472C" w:rsidRDefault="00BD68EB" w:rsidP="0055472C">
      <w:pPr>
        <w:pStyle w:val="NormalWeb"/>
        <w:spacing w:before="0" w:beforeAutospacing="0" w:after="0" w:afterAutospacing="0" w:line="480" w:lineRule="auto"/>
        <w:rPr>
          <w:rStyle w:val="Strong"/>
          <w:b w:val="0"/>
          <w:bCs w:val="0"/>
          <w:color w:val="1C1E29"/>
        </w:rPr>
      </w:pPr>
    </w:p>
    <w:p w:rsidR="00BD68EB" w:rsidRDefault="00BD68EB" w:rsidP="00BD68EB">
      <w:pPr>
        <w:pStyle w:val="NormalWeb"/>
        <w:spacing w:before="0" w:beforeAutospacing="0" w:after="0" w:afterAutospacing="0" w:line="480" w:lineRule="auto"/>
        <w:rPr>
          <w:rStyle w:val="Strong"/>
          <w:color w:val="1C1E29"/>
        </w:rPr>
      </w:pPr>
    </w:p>
    <w:p w:rsidR="0055472C" w:rsidRDefault="0055472C" w:rsidP="0055472C">
      <w:pPr>
        <w:pStyle w:val="NormalWeb"/>
        <w:spacing w:before="0" w:beforeAutospacing="0" w:after="0" w:afterAutospacing="0" w:line="480" w:lineRule="auto"/>
        <w:jc w:val="center"/>
        <w:rPr>
          <w:color w:val="1C1E29"/>
        </w:rPr>
      </w:pPr>
    </w:p>
    <w:p w:rsidR="0055472C" w:rsidRDefault="0055472C" w:rsidP="0055472C">
      <w:pPr>
        <w:pStyle w:val="NormalWeb"/>
        <w:spacing w:before="0" w:beforeAutospacing="0" w:after="0" w:afterAutospacing="0" w:line="480" w:lineRule="auto"/>
        <w:jc w:val="center"/>
        <w:rPr>
          <w:rStyle w:val="Strong"/>
          <w:color w:val="1C1E29"/>
        </w:rPr>
      </w:pPr>
      <w:r w:rsidRPr="00BD68EB">
        <w:rPr>
          <w:color w:val="1C1E29"/>
        </w:rPr>
        <w:lastRenderedPageBreak/>
        <w:t>Special Education Experience</w:t>
      </w:r>
      <w:r w:rsidRPr="00BD68EB">
        <w:rPr>
          <w:rStyle w:val="Strong"/>
          <w:color w:val="1C1E29"/>
        </w:rPr>
        <w:t xml:space="preserve"> </w:t>
      </w:r>
    </w:p>
    <w:p w:rsidR="00BD68EB" w:rsidRPr="00BD68EB" w:rsidRDefault="00BD68EB" w:rsidP="0055472C">
      <w:pPr>
        <w:pStyle w:val="NormalWeb"/>
        <w:spacing w:before="0" w:beforeAutospacing="0" w:after="0" w:afterAutospacing="0" w:line="480" w:lineRule="auto"/>
        <w:jc w:val="center"/>
        <w:rPr>
          <w:color w:val="1C1E29"/>
        </w:rPr>
      </w:pPr>
      <w:r w:rsidRPr="00BD68EB">
        <w:rPr>
          <w:rStyle w:val="Strong"/>
          <w:color w:val="1C1E29"/>
        </w:rPr>
        <w:t>Part A</w:t>
      </w:r>
    </w:p>
    <w:p w:rsidR="00BD68EB" w:rsidRPr="00BD68EB" w:rsidRDefault="00BD68EB" w:rsidP="00BD68EB">
      <w:pPr>
        <w:pStyle w:val="NormalWeb"/>
        <w:spacing w:before="0" w:beforeAutospacing="0" w:after="0" w:afterAutospacing="0" w:line="480" w:lineRule="auto"/>
        <w:jc w:val="center"/>
        <w:rPr>
          <w:color w:val="1C1E29"/>
        </w:rPr>
      </w:pPr>
      <w:r w:rsidRPr="00BD68EB">
        <w:rPr>
          <w:rStyle w:val="Strong"/>
          <w:color w:val="1C1E29"/>
        </w:rPr>
        <w:t>Post-Philosophy Statement</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As outlined in my pre-philosophy statement, effective special education that allows people with special needs to function, learn, grow, and succeed in life just like those without disabilities is critical. It will enable teachers to be well equipped and appreciated the differences of people with disability in order to help realize their potential and live a quality life. I wouldn’t change anythi</w:t>
      </w:r>
      <w:r w:rsidR="0055472C">
        <w:rPr>
          <w:color w:val="1C1E29"/>
        </w:rPr>
        <w:t xml:space="preserve">ng on that perspective. Instead, I </w:t>
      </w:r>
      <w:r w:rsidRPr="00BD68EB">
        <w:rPr>
          <w:color w:val="1C1E29"/>
        </w:rPr>
        <w:t>would add that special education requires a thorough analysis of individuals with a disability, thereby establishing systematic and individually planned arrangements for teaching materials, equipment, and procedures as well as enhanced accessibility by the people with disability. As a result, it calls for a modified learning environment and teaching methods to allow a limited number of special needs students to be confined in a global learning environment enabling them to integrate and reduce stigma.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Significant strides have been made in addressing social inclusion for people with disability in terms of enactments and policies. The Schooling environment provides a perfect context for identifying and intervening due to the large reach and involvement of several participants that include teachers, children, parents, and the community in general. Unfortunately, it also provides an avenue for social rejection, exclusion, and stigma. Therefore, schools still need to do more in establishing and implementing programs and models that involve the entire school community to promote social inclusion and eliminate the risk of stigmatization.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rStyle w:val="Strong"/>
          <w:color w:val="1C1E29"/>
        </w:rPr>
        <w:t> </w:t>
      </w:r>
    </w:p>
    <w:p w:rsidR="00BD68EB" w:rsidRPr="00BD68EB" w:rsidRDefault="00BD68EB" w:rsidP="00BD68EB">
      <w:pPr>
        <w:pStyle w:val="NormalWeb"/>
        <w:spacing w:before="0" w:beforeAutospacing="0" w:after="0" w:afterAutospacing="0" w:line="480" w:lineRule="auto"/>
        <w:ind w:firstLine="720"/>
        <w:rPr>
          <w:color w:val="1C1E29"/>
        </w:rPr>
      </w:pPr>
    </w:p>
    <w:p w:rsidR="00BD68EB" w:rsidRPr="00BD68EB" w:rsidRDefault="00BD68EB" w:rsidP="00BD68EB">
      <w:pPr>
        <w:pStyle w:val="NormalWeb"/>
        <w:spacing w:before="0" w:beforeAutospacing="0" w:after="0" w:afterAutospacing="0" w:line="480" w:lineRule="auto"/>
        <w:ind w:firstLine="720"/>
        <w:rPr>
          <w:color w:val="1C1E29"/>
        </w:rPr>
      </w:pPr>
      <w:r w:rsidRPr="00BD68EB">
        <w:rPr>
          <w:rStyle w:val="Strong"/>
          <w:color w:val="1C1E29"/>
        </w:rPr>
        <w:lastRenderedPageBreak/>
        <w:t>  </w:t>
      </w:r>
    </w:p>
    <w:p w:rsidR="00BD68EB" w:rsidRDefault="00BD68EB" w:rsidP="00BD68EB">
      <w:pPr>
        <w:pStyle w:val="NormalWeb"/>
        <w:spacing w:before="0" w:beforeAutospacing="0" w:after="0" w:afterAutospacing="0" w:line="480" w:lineRule="auto"/>
        <w:jc w:val="center"/>
        <w:rPr>
          <w:rStyle w:val="Strong"/>
          <w:color w:val="1C1E29"/>
        </w:rPr>
      </w:pPr>
      <w:r w:rsidRPr="00BD68EB">
        <w:rPr>
          <w:rStyle w:val="Strong"/>
          <w:color w:val="1C1E29"/>
        </w:rPr>
        <w:t>PART B</w:t>
      </w:r>
    </w:p>
    <w:p w:rsidR="0055472C" w:rsidRPr="00BD68EB" w:rsidRDefault="0055472C" w:rsidP="00BD68EB">
      <w:pPr>
        <w:pStyle w:val="NormalWeb"/>
        <w:spacing w:before="0" w:beforeAutospacing="0" w:after="0" w:afterAutospacing="0" w:line="480" w:lineRule="auto"/>
        <w:jc w:val="center"/>
        <w:rPr>
          <w:color w:val="1C1E29"/>
        </w:rPr>
      </w:pPr>
      <w:r w:rsidRPr="00BD68EB">
        <w:rPr>
          <w:color w:val="1C1E29"/>
        </w:rPr>
        <w:t>Fetal Alcohol Syndrom</w:t>
      </w:r>
      <w:r>
        <w:rPr>
          <w:color w:val="1C1E29"/>
        </w:rPr>
        <w:t>e</w:t>
      </w:r>
    </w:p>
    <w:p w:rsidR="00BD68EB" w:rsidRPr="0055472C" w:rsidRDefault="0055472C" w:rsidP="00BD68EB">
      <w:pPr>
        <w:pStyle w:val="NormalWeb"/>
        <w:spacing w:before="0" w:beforeAutospacing="0" w:after="0" w:afterAutospacing="0" w:line="480" w:lineRule="auto"/>
        <w:jc w:val="center"/>
        <w:rPr>
          <w:b/>
          <w:color w:val="1C1E29"/>
        </w:rPr>
      </w:pPr>
      <w:r w:rsidRPr="0055472C">
        <w:rPr>
          <w:b/>
          <w:color w:val="1C1E29"/>
        </w:rPr>
        <w:t>Introduction.</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Fetal Alcohol Syndrome is conditions that affect a young child resulting from the infant’s exposure to alcohol during pregnancy. It generally results in growth problems and brain damage. The defects resulting from this condition are irreversible, and its issues vary from one child to another (May et al., 2014). Medically, there is no approved amount of alcohol that can be termed as safe during pregnancy; hence, any consumption of alcohol during pregnancy put the unborn child at the risk of developing this condition after birth. Someone may ask, what is the relationship between the unborn child and the mother’s alcohol consumption? Upon alcohol consumption by the expectant mother, alcohol gets into the mothers’ bloodstream and enters the fetus through the placenta. The fetus metabolizes alcohol slower than an adult leading to high blood pressure resulting from the increased concentration of alcohol in the fetus’ body. The increase in alcohol concentration hinders the delivery of optimal nutrition and oxygen to the fetus, which may lead to underdeveloped tissues and organs. In extreme cases, it leads to permanent brain damage in the baby.</w:t>
      </w:r>
    </w:p>
    <w:p w:rsidR="00BD68EB" w:rsidRPr="00BD68EB" w:rsidRDefault="00BD68EB" w:rsidP="00BD68EB">
      <w:pPr>
        <w:pStyle w:val="NormalWeb"/>
        <w:spacing w:before="0" w:beforeAutospacing="0" w:after="0" w:afterAutospacing="0" w:line="480" w:lineRule="auto"/>
        <w:jc w:val="center"/>
        <w:rPr>
          <w:color w:val="1C1E29"/>
        </w:rPr>
      </w:pPr>
      <w:r w:rsidRPr="00BD68EB">
        <w:rPr>
          <w:rStyle w:val="Strong"/>
          <w:color w:val="1C1E29"/>
        </w:rPr>
        <w:t>Symptoms or Characteristics</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xml:space="preserve">As noted earlier, the effects vary from one child to another, and so </w:t>
      </w:r>
      <w:r w:rsidR="0055472C">
        <w:rPr>
          <w:color w:val="1C1E29"/>
        </w:rPr>
        <w:t xml:space="preserve">are the symptoms. According to </w:t>
      </w:r>
      <w:r w:rsidRPr="00BD68EB">
        <w:rPr>
          <w:color w:val="1C1E29"/>
        </w:rPr>
        <w:t xml:space="preserve">May et al., </w:t>
      </w:r>
      <w:r w:rsidR="0055472C">
        <w:rPr>
          <w:color w:val="1C1E29"/>
        </w:rPr>
        <w:t>(</w:t>
      </w:r>
      <w:r w:rsidRPr="00BD68EB">
        <w:rPr>
          <w:color w:val="1C1E29"/>
        </w:rPr>
        <w:t>2014), some children experience far more significant effects than others. Among the commonly known symptoms include: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lastRenderedPageBreak/>
        <w:t>A mix of physical defects like distinctive facial defects (small eyes, short nose and thin lips), deformed limbs, fingers, and joints, hearing and visual challenges, slowed growth after birth, kidney and bone issues and small-sized head and brain.</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Central nervous system and brain issues exhibited by poor balance and coordination, poor memory, problem solving and reasoning difficulties, poor judgment, learning disorders and intellectual disability, trouble in information processing and attention issues, changing moods and hyperactivity (Dörrie et al., 2016).</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Behavioral and social issues are effects that affect the child from interacting, functioning, and coping with others in society. the symptoms include problems with social skills (inappropriate conduct, disobedience, and aggression) and time management, the problem in task completion, issues with impulse control and behavior, trouble in switching tasks, issues in getting along with others as well as difficulties in planning and setting goals.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xml:space="preserve">Sometimes people with Fetal Alcohol Syndrome may look typical with good to above-average ability to communicate and express themselves, which make it difficult for others to recognize their disability. Their problem is exposed in their disadvantage in the understanding of what has been said and </w:t>
      </w:r>
      <w:r w:rsidR="0055472C">
        <w:rPr>
          <w:color w:val="1C1E29"/>
        </w:rPr>
        <w:t xml:space="preserve">responding to it. According to </w:t>
      </w:r>
      <w:r w:rsidRPr="00BD68EB">
        <w:rPr>
          <w:color w:val="1C1E29"/>
        </w:rPr>
        <w:t xml:space="preserve">May et al., </w:t>
      </w:r>
      <w:r w:rsidR="0055472C">
        <w:rPr>
          <w:color w:val="1C1E29"/>
        </w:rPr>
        <w:t>(</w:t>
      </w:r>
      <w:r w:rsidRPr="00BD68EB">
        <w:rPr>
          <w:color w:val="1C1E29"/>
        </w:rPr>
        <w:t>2014), others may be perceived to be just sneaky, lazy, or manipulative because of their significant cognition abilities and healthy appearance. When typical/normal people are misconstrued to such misconceptions may react and respond inappropriately. For instance, stealing may a direct result of the individual not being able to understand control impulses and ownership. </w:t>
      </w:r>
    </w:p>
    <w:p w:rsidR="00BD68EB" w:rsidRPr="00BD68EB" w:rsidRDefault="00BD68EB" w:rsidP="00BD68EB">
      <w:pPr>
        <w:pStyle w:val="NormalWeb"/>
        <w:spacing w:before="0" w:beforeAutospacing="0" w:after="0" w:afterAutospacing="0" w:line="480" w:lineRule="auto"/>
        <w:jc w:val="center"/>
        <w:rPr>
          <w:color w:val="1C1E29"/>
        </w:rPr>
      </w:pPr>
      <w:r w:rsidRPr="00BD68EB">
        <w:rPr>
          <w:rStyle w:val="Strong"/>
          <w:color w:val="1C1E29"/>
        </w:rPr>
        <w:t>Accommodations and Services</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xml:space="preserve">Due to their nature of the disability, persons with Fetal Alcohol Syndrome have varying specific needs. Victims of this condition respond differently to anxiety than normal people. </w:t>
      </w:r>
      <w:r w:rsidRPr="00BD68EB">
        <w:rPr>
          <w:color w:val="1C1E29"/>
        </w:rPr>
        <w:lastRenderedPageBreak/>
        <w:t>Those exhibiting brain damages consume a lot of time at a state of anxiety while processing information. They are very anxious, even when performing fundamental tasks. In order to ensure a stable and supportive environment, those responsible for their care need to establish a close relationship by understanding their specific behavior and having the skills needed to intervene and support them effectively.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The emotional and physiological issues associated with Fetal Alcohol Syndrome sometimes can be a big challenge to manage for both the child and the family members. As a result, families, and victims require a lot of support from individual education professionals. It is of paramount importance for the related stakeholders (family and education providers) to learn a number of skills needed in enabling a quiet and conducive learning environment for the child. Some of the critical skills required include identifying the child’s strengths and weaknesses, having in place and enforcing simple rules including limits, putting in place daily routines, using simple, specific and concrete language, teaching daily simple social interactions and daily living skills and reinforcing learning through repetition. Many of Fetal Alcohol Syndrome face a lot of stigmas and can be at the risk of being taken advantage of hence it critical to guard them against such situations as well as teaching them how to handle different positions to avoid the aggravation of the condition. </w:t>
      </w:r>
    </w:p>
    <w:p w:rsidR="00BD68EB" w:rsidRPr="00BD68EB" w:rsidRDefault="0055472C" w:rsidP="00BD68EB">
      <w:pPr>
        <w:pStyle w:val="NormalWeb"/>
        <w:spacing w:before="0" w:beforeAutospacing="0" w:after="0" w:afterAutospacing="0" w:line="480" w:lineRule="auto"/>
        <w:ind w:firstLine="720"/>
        <w:rPr>
          <w:color w:val="1C1E29"/>
        </w:rPr>
      </w:pPr>
      <w:r>
        <w:rPr>
          <w:color w:val="1C1E29"/>
        </w:rPr>
        <w:t xml:space="preserve">As cited by </w:t>
      </w:r>
      <w:r w:rsidR="00BD68EB" w:rsidRPr="00BD68EB">
        <w:rPr>
          <w:color w:val="1C1E29"/>
        </w:rPr>
        <w:t xml:space="preserve">Lange et al., </w:t>
      </w:r>
      <w:r>
        <w:rPr>
          <w:color w:val="1C1E29"/>
        </w:rPr>
        <w:t>(</w:t>
      </w:r>
      <w:r w:rsidR="00BD68EB" w:rsidRPr="00BD68EB">
        <w:rPr>
          <w:color w:val="1C1E29"/>
        </w:rPr>
        <w:t>2013)</w:t>
      </w:r>
      <w:r>
        <w:rPr>
          <w:color w:val="1C1E29"/>
        </w:rPr>
        <w:t>,</w:t>
      </w:r>
      <w:r w:rsidR="00BD68EB" w:rsidRPr="00BD68EB">
        <w:rPr>
          <w:color w:val="1C1E29"/>
        </w:rPr>
        <w:t xml:space="preserve"> while communicating with an individual with the condition always use few words as much as possible and try to explain the desired behavior or what you expect to </w:t>
      </w:r>
      <w:r>
        <w:rPr>
          <w:color w:val="1C1E29"/>
        </w:rPr>
        <w:t>happen as clearly as possible. T</w:t>
      </w:r>
      <w:r w:rsidR="00BD68EB" w:rsidRPr="00BD68EB">
        <w:rPr>
          <w:color w:val="1C1E29"/>
        </w:rPr>
        <w:t xml:space="preserve">he author also adds that one has to be direct but avoid being authoritative or else the Fetal Alcohol Syndrome person may close down quickly hence preventing further learning. The authors also call for caregivers not to expect such individuals to act and reason as per their age, to avoid being judgmental and always start without </w:t>
      </w:r>
      <w:r w:rsidR="00BD68EB" w:rsidRPr="00BD68EB">
        <w:rPr>
          <w:color w:val="1C1E29"/>
        </w:rPr>
        <w:lastRenderedPageBreak/>
        <w:t>assuming anything or else you will be misjudging as to why the person behaves the way they do. He further adds that it is critical to avoid debating, arguing or negotiating with the victim as this may frustrate learning efforts once the individual feels reproached and becomes no receptive</w:t>
      </w:r>
      <w:r>
        <w:rPr>
          <w:color w:val="1C1E29"/>
        </w:rPr>
        <w:t xml:space="preserve"> </w:t>
      </w:r>
      <w:r w:rsidR="00BD68EB" w:rsidRPr="00BD68EB">
        <w:rPr>
          <w:color w:val="1C1E29"/>
        </w:rPr>
        <w:t xml:space="preserve">(Lange et al., 2013). To establish a connection, the caregiver must avoid getting discouraged from repeatedly dealing with similar issues day after day. To a typical person, this may seem like related or connected issues but to the Fetal Alcohol Syndrome individual sees them as unrelated and unique situations because their damaged brain does </w:t>
      </w:r>
      <w:r>
        <w:rPr>
          <w:color w:val="1C1E29"/>
        </w:rPr>
        <w:t xml:space="preserve">not phantom that. According to </w:t>
      </w:r>
      <w:r w:rsidR="00BD68EB" w:rsidRPr="00BD68EB">
        <w:rPr>
          <w:color w:val="1C1E29"/>
        </w:rPr>
        <w:t xml:space="preserve">May et al., </w:t>
      </w:r>
      <w:r>
        <w:rPr>
          <w:color w:val="1C1E29"/>
        </w:rPr>
        <w:t>(</w:t>
      </w:r>
      <w:r w:rsidR="00BD68EB" w:rsidRPr="00BD68EB">
        <w:rPr>
          <w:color w:val="1C1E29"/>
        </w:rPr>
        <w:t>2014), family members and special education professionals need to be extra attentive to their verbal and nonverbal communication. Sometimes when experiencing a crisis, Fetal Alcohol Syndrome persons may not understand all the words but get from your sound and body movements.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People with Fetal Alcohol Syndrome require a direct approach in their life and a highly structured way of interacting with them (Dörrie et al., 2016). Being left alone can be disastrous to their development since the majority have difficulties in managing their time and performing a simple task that involves multi-steps even when not experiencing an anxiety crisis. They always get into trouble when doing a multi-step job by getting distracted, frustrated, or confused. </w:t>
      </w:r>
    </w:p>
    <w:p w:rsidR="00BD68EB" w:rsidRPr="00BD68EB" w:rsidRDefault="00BD68EB" w:rsidP="00BD68EB">
      <w:pPr>
        <w:pStyle w:val="NormalWeb"/>
        <w:spacing w:before="0" w:beforeAutospacing="0" w:after="0" w:afterAutospacing="0" w:line="480" w:lineRule="auto"/>
        <w:jc w:val="center"/>
        <w:rPr>
          <w:color w:val="1C1E29"/>
        </w:rPr>
      </w:pPr>
      <w:r w:rsidRPr="00BD68EB">
        <w:rPr>
          <w:rStyle w:val="Strong"/>
          <w:color w:val="1C1E29"/>
        </w:rPr>
        <w:t>Interventions</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xml:space="preserve">There are no specific interventions or specific treatment for Fetal Alcohol Syndrome. The physical and mental defects are usually lifelong lasting. Nevertheless, the best preventive measure for Fetal Alcohol Syndrome is complete abstinence from alcohol by pregnant mothers and those trying to get pregnant. It is essential to stop drinking once you realize you’re pregnant or when you think you might get pregnant (May et al., 2014). The earlier you avoid alcohol, the </w:t>
      </w:r>
      <w:r w:rsidRPr="00BD68EB">
        <w:rPr>
          <w:color w:val="1C1E29"/>
        </w:rPr>
        <w:lastRenderedPageBreak/>
        <w:t>better for the unborn child. It is also recommended for women to avoid alcohol as much as possible during their childbearing years.</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If one realizes they have been drinking while pregnant, seeking medical care for early assessment can greatly influence the ability of the child to function well after birth. Disclosing the amount and timing of alcohol consumption helps healthcare providers to establish the risk of the exposure. Although it’s challenging to diagnose Fetal Alcohol Syndrome for the unborn child, this intervention helps to monitor the mothers and baby’s health during the pregnancy period. The effects of the condition depend on the amount of alcohol consumed, the frequency, and the timing during pregnancy.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However, once a child is detected with the Fetal Alcohol Syndrome, early intervention is necessary to ensure the provision of a stable and caring environment/home to protect such a child from the risk of secondary disabilities that may occur later in their life. After noting any of the symptoms above, the first step involves consulting a doctor to commence medication as early as possible (Dörrie et al., 2016). Establishing a child-parent interaction therapy during early childhood years (2 to 7 years) will help improve the parent-child relationship and the interaction pattern between them. </w:t>
      </w:r>
    </w:p>
    <w:p w:rsidR="00BD68EB" w:rsidRPr="00BD68EB" w:rsidRDefault="00BD68EB" w:rsidP="00BD68EB">
      <w:pPr>
        <w:pStyle w:val="NormalWeb"/>
        <w:spacing w:before="0" w:beforeAutospacing="0" w:after="0" w:afterAutospacing="0" w:line="480" w:lineRule="auto"/>
        <w:jc w:val="center"/>
        <w:rPr>
          <w:b/>
          <w:color w:val="1C1E29"/>
        </w:rPr>
      </w:pPr>
      <w:r w:rsidRPr="00BD68EB">
        <w:rPr>
          <w:rStyle w:val="Strong"/>
          <w:b w:val="0"/>
          <w:color w:val="1C1E29"/>
        </w:rPr>
        <w:t>References</w:t>
      </w:r>
    </w:p>
    <w:p w:rsidR="00BD68EB" w:rsidRPr="00BD68EB" w:rsidRDefault="00BD68EB" w:rsidP="00BD68EB">
      <w:pPr>
        <w:pStyle w:val="NormalWeb"/>
        <w:spacing w:before="0" w:beforeAutospacing="0" w:after="0" w:afterAutospacing="0" w:line="480" w:lineRule="auto"/>
        <w:ind w:left="720" w:hanging="720"/>
        <w:rPr>
          <w:color w:val="1C1E29"/>
        </w:rPr>
      </w:pPr>
      <w:r w:rsidRPr="00BD68EB">
        <w:rPr>
          <w:color w:val="1C1E29"/>
        </w:rPr>
        <w:t>Dörrie, N., Föcker, M., Freunscht, I., &amp;Hebebrand, J. (2014). Fetal alcohol spectrum disorders.European child &amp; adolescent psychiatry, 23(10), 863-875.</w:t>
      </w:r>
    </w:p>
    <w:p w:rsidR="00BD68EB" w:rsidRPr="00BD68EB" w:rsidRDefault="00BD68EB" w:rsidP="00BD68EB">
      <w:pPr>
        <w:pStyle w:val="NormalWeb"/>
        <w:spacing w:before="0" w:beforeAutospacing="0" w:after="0" w:afterAutospacing="0" w:line="480" w:lineRule="auto"/>
        <w:ind w:left="720" w:hanging="720"/>
        <w:rPr>
          <w:color w:val="1C1E29"/>
        </w:rPr>
      </w:pPr>
      <w:r w:rsidRPr="00BD68EB">
        <w:rPr>
          <w:color w:val="1C1E29"/>
        </w:rPr>
        <w:t>Lange, S., Shield, K., Rehm, J., &amp;Popova, S. (2013). Prevalence of fetal alcohol spectrum disorders in childcare settings: a meta-analysis. Pediatrics, 132(4), e980-e995</w:t>
      </w:r>
    </w:p>
    <w:p w:rsidR="00BD68EB" w:rsidRPr="00BD68EB" w:rsidRDefault="00BD68EB" w:rsidP="00BD68EB">
      <w:pPr>
        <w:pStyle w:val="NormalWeb"/>
        <w:spacing w:before="0" w:beforeAutospacing="0" w:after="0" w:afterAutospacing="0" w:line="480" w:lineRule="auto"/>
        <w:ind w:left="720" w:hanging="720"/>
        <w:rPr>
          <w:color w:val="1C1E29"/>
        </w:rPr>
      </w:pPr>
      <w:r w:rsidRPr="00BD68EB">
        <w:rPr>
          <w:color w:val="1C1E29"/>
        </w:rPr>
        <w:lastRenderedPageBreak/>
        <w:t>May, P. A., Baete, A., Russo, J., Elliott, A. J., Blankenship, J., Kalberg, W. O., ...&amp; Adam, M. P. (2014). Prevalence and characteristics of fetal alcohol spectrum disorders. Pediatrics, 134(5), 855-866.</w:t>
      </w:r>
    </w:p>
    <w:p w:rsidR="00BD68EB" w:rsidRDefault="00BD68EB" w:rsidP="0055472C">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jc w:val="center"/>
        <w:rPr>
          <w:color w:val="1C1E29"/>
        </w:rPr>
      </w:pPr>
      <w:r w:rsidRPr="00BD68EB">
        <w:rPr>
          <w:rStyle w:val="Strong"/>
          <w:color w:val="1C1E29"/>
        </w:rPr>
        <w:t>PART C</w:t>
      </w:r>
    </w:p>
    <w:p w:rsidR="00BD68EB" w:rsidRPr="00BD68EB" w:rsidRDefault="00BD68EB" w:rsidP="00BD68EB">
      <w:pPr>
        <w:pStyle w:val="NormalWeb"/>
        <w:spacing w:before="0" w:beforeAutospacing="0" w:after="0" w:afterAutospacing="0" w:line="480" w:lineRule="auto"/>
        <w:ind w:firstLine="720"/>
        <w:rPr>
          <w:b/>
          <w:color w:val="1C1E29"/>
        </w:rPr>
      </w:pPr>
      <w:r w:rsidRPr="00BD68EB">
        <w:rPr>
          <w:b/>
          <w:color w:val="1C1E29"/>
        </w:rPr>
        <w:t>1. What should and should not be the focus of special education for students with severe disabilities?</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Special education for students with severe disabilities should be individualized by understanding the weaknesses and strength of individual learners. Upon identifying them, learners should not be grouped based on their abilities but should be allowed to socialize and integrated with others (Feldman et al., 2016). Consequently, learning environment, materials, and procedures should also be tailored to meet and accommodate the different needs of diverse learners.</w:t>
      </w:r>
    </w:p>
    <w:p w:rsidR="00BD68EB" w:rsidRPr="00BD68EB" w:rsidRDefault="00BD68EB" w:rsidP="00BD68EB">
      <w:pPr>
        <w:pStyle w:val="NormalWeb"/>
        <w:spacing w:before="0" w:beforeAutospacing="0" w:after="0" w:afterAutospacing="0" w:line="480" w:lineRule="auto"/>
        <w:ind w:firstLine="720"/>
        <w:rPr>
          <w:b/>
          <w:color w:val="1C1E29"/>
        </w:rPr>
      </w:pPr>
      <w:r w:rsidRPr="00BD68EB">
        <w:rPr>
          <w:b/>
          <w:color w:val="1C1E29"/>
        </w:rPr>
        <w:t>2. Identify the skills and dispositions a teacher needs to work with students with severe disabilities. How are these skills unique for this population of students?</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Students experiencing severe disabilities get services from a vast range of professionals that include mobility specialists, occupational therapist, speech therapist, adaptive technology specialist, and nurse. Therefore, teachers need to work hand in hand with the other professionals in holistically delivering car</w:t>
      </w:r>
      <w:r w:rsidR="0055472C">
        <w:rPr>
          <w:color w:val="1C1E29"/>
        </w:rPr>
        <w:t xml:space="preserve">e to the student. According to </w:t>
      </w:r>
      <w:r w:rsidRPr="00BD68EB">
        <w:rPr>
          <w:color w:val="1C1E29"/>
        </w:rPr>
        <w:t xml:space="preserve">Feldman et al., </w:t>
      </w:r>
      <w:r w:rsidR="0055472C">
        <w:rPr>
          <w:color w:val="1C1E29"/>
        </w:rPr>
        <w:t>(</w:t>
      </w:r>
      <w:r w:rsidRPr="00BD68EB">
        <w:rPr>
          <w:color w:val="1C1E29"/>
        </w:rPr>
        <w:t>2016), this group of students with exhibits a varying range of needs and abilities that must be addressed in a school setting which therefore calls for the teacher to have special skills on the learner’s development. </w:t>
      </w:r>
    </w:p>
    <w:p w:rsidR="00BD68EB" w:rsidRPr="00BD68EB" w:rsidRDefault="00BD68EB" w:rsidP="00BD68EB">
      <w:pPr>
        <w:pStyle w:val="NormalWeb"/>
        <w:spacing w:before="0" w:beforeAutospacing="0" w:after="0" w:afterAutospacing="0" w:line="480" w:lineRule="auto"/>
        <w:ind w:firstLine="720"/>
        <w:rPr>
          <w:b/>
          <w:color w:val="1C1E29"/>
        </w:rPr>
      </w:pPr>
      <w:r w:rsidRPr="00BD68EB">
        <w:rPr>
          <w:b/>
          <w:color w:val="1C1E29"/>
        </w:rPr>
        <w:lastRenderedPageBreak/>
        <w:t>3. Do you believe that students who are gifted and talented benefit the most by participating in acceleration and enrichment programs with peers who show similar intellectual abilities? Why or why not?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Yes. This creates a holistic environment for sharpening their gifts and talents further. With the proper guidance, it also offers the students with a context for the healthy competition which develops them to be assertive and competent in their life later (Feldman et al., 2016). Integrating them with students with other competencies confuses them and may distract their learning and development.</w:t>
      </w:r>
    </w:p>
    <w:p w:rsidR="00BD68EB" w:rsidRPr="00BD68EB" w:rsidRDefault="00BD68EB" w:rsidP="00BD68EB">
      <w:pPr>
        <w:pStyle w:val="NormalWeb"/>
        <w:spacing w:before="0" w:beforeAutospacing="0" w:after="0" w:afterAutospacing="0" w:line="480" w:lineRule="auto"/>
        <w:ind w:firstLine="720"/>
        <w:rPr>
          <w:b/>
          <w:color w:val="1C1E29"/>
        </w:rPr>
      </w:pPr>
      <w:r w:rsidRPr="00BD68EB">
        <w:rPr>
          <w:b/>
          <w:color w:val="1C1E29"/>
        </w:rPr>
        <w:t>4. List and briefly describe service delivery options for young children and identify the advantages and disadvantages of each type.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Service delivery in young children can be direct, consultative, or flexible. Immediate service delivery involves the provision of service in one-on-one, small group, or large group setting where teachers and students share information directly (Kingsley &amp;Mailloux, 2013). This method is crucial because it enables the establishment of a relationship, mold student social skills as well as provide a just platform for assessment of student learning. However, sometimes, it may not easily depict changes in development and behavior pattern of students to administer the proper intervention.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Consultative service delivery method allows student learning, progress, and development to be altered /changed to meet the current needs of the student as advised by the therapist. As c</w:t>
      </w:r>
      <w:r w:rsidR="0055472C">
        <w:rPr>
          <w:color w:val="1C1E29"/>
        </w:rPr>
        <w:t xml:space="preserve">ited by </w:t>
      </w:r>
      <w:r w:rsidRPr="00BD68EB">
        <w:rPr>
          <w:color w:val="1C1E29"/>
        </w:rPr>
        <w:t>Kingsley &amp;</w:t>
      </w:r>
      <w:r w:rsidR="0055472C">
        <w:rPr>
          <w:color w:val="1C1E29"/>
        </w:rPr>
        <w:t xml:space="preserve"> </w:t>
      </w:r>
      <w:r w:rsidRPr="00BD68EB">
        <w:rPr>
          <w:color w:val="1C1E29"/>
        </w:rPr>
        <w:t xml:space="preserve">Mailloux, </w:t>
      </w:r>
      <w:r w:rsidR="0055472C">
        <w:rPr>
          <w:color w:val="1C1E29"/>
        </w:rPr>
        <w:t>(</w:t>
      </w:r>
      <w:r w:rsidRPr="00BD68EB">
        <w:rPr>
          <w:color w:val="1C1E29"/>
        </w:rPr>
        <w:t>2013), teachers are, therefore, able to employ the right processes, materials, and environment to improve efficacy in their teaching. In the case of lapse or constrained relationship between therapist and teacher can have detrimental impacts on the child’s development and learning?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lastRenderedPageBreak/>
        <w:t>Flexible service delivery involves the integration of both direct and consultative approaches in student education. This method is highly effective because it saves time that can be lost by halting immediate service delivery to do consultation due to the change in student behavior or needs before resuming direct approach. Depending on the severity of the disability, sometimes it can cause a dilemma in determining a sufficient balance.    </w:t>
      </w:r>
    </w:p>
    <w:p w:rsidR="00BD68EB" w:rsidRPr="00BD68EB" w:rsidRDefault="00BD68EB" w:rsidP="00BD68EB">
      <w:pPr>
        <w:pStyle w:val="NormalWeb"/>
        <w:spacing w:before="0" w:beforeAutospacing="0" w:after="0" w:afterAutospacing="0" w:line="480" w:lineRule="auto"/>
        <w:ind w:firstLine="720"/>
        <w:rPr>
          <w:b/>
          <w:color w:val="1C1E29"/>
        </w:rPr>
      </w:pPr>
      <w:r w:rsidRPr="00BD68EB">
        <w:rPr>
          <w:b/>
          <w:color w:val="1C1E29"/>
        </w:rPr>
        <w:t>5. Identify critical opportunities that high school students with disabilities should receive in preparation for their smooth transition to post-secondary life or college.</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There are several things that students with disabilities need to learn during high school to ensure the transition to college is smooth. Before joining high school student should engage in diverse but well balanced, challenging courses to assess any arising difficulties then prepare a study plan that is specific to their needs. One should also become proficient with technology like computer, smartphones, and the internet. During high school, students with disability should grow their knowledge regarding their disability and focus on increasing their strengths as well as sharing their condition and challenges with others. In addition to consulting school counselors, students should ensure their disability documentation are up to date and learn how to do the same for college admission and accommodation purposes.</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b/>
          <w:color w:val="1C1E29"/>
        </w:rPr>
      </w:pPr>
      <w:r w:rsidRPr="00BD68EB">
        <w:rPr>
          <w:b/>
          <w:color w:val="1C1E29"/>
        </w:rPr>
        <w:t>6. How do you define the “quality of life”? Is “quality of life” determined or influenced by the individual's level of “self-determination”? What can be done to improve the quality of life for adults with disabilities?</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xml:space="preserve">Quality of life refers to the ability to live a comfortable, happy, and healthy life. Self-determination is essential on the road to living a quality life for people with disabilities. Self-determination enables one to hold personal values and principles that allow them to determine </w:t>
      </w:r>
      <w:r w:rsidRPr="00BD68EB">
        <w:rPr>
          <w:color w:val="1C1E29"/>
        </w:rPr>
        <w:lastRenderedPageBreak/>
        <w:t xml:space="preserve">their destiny (McDougall et al., 2016). They can make their own choices in political, cultural, economic, and social development issues. Improving the quality of life for adults with a disability starts from home; the atmosphere at home should feel comfortable if not necessary adjustments should be made, for example, lighting, paint, smell, plant life, etc. Interacting with people by going out regularly reduces chances of depression; therefore, adults should strive to keep working and support charity work. According to McDougall et al., </w:t>
      </w:r>
      <w:r w:rsidR="0055472C">
        <w:rPr>
          <w:color w:val="1C1E29"/>
        </w:rPr>
        <w:t>(</w:t>
      </w:r>
      <w:r w:rsidRPr="00BD68EB">
        <w:rPr>
          <w:color w:val="1C1E29"/>
        </w:rPr>
        <w:t>2016), in making others happy, you also improve your quality of life. Lastly, adults with a disability should exercise every day and get proper nutrition.</w:t>
      </w:r>
    </w:p>
    <w:p w:rsidR="0037403F" w:rsidRPr="00BD68EB" w:rsidRDefault="0037403F" w:rsidP="00BD68EB">
      <w:pPr>
        <w:spacing w:line="480" w:lineRule="auto"/>
        <w:ind w:firstLine="720"/>
        <w:rPr>
          <w:rFonts w:ascii="Times New Roman" w:hAnsi="Times New Roman" w:cs="Times New Roman"/>
          <w:sz w:val="24"/>
          <w:szCs w:val="24"/>
        </w:rPr>
      </w:pPr>
      <w:r w:rsidRPr="00BD68EB">
        <w:rPr>
          <w:rFonts w:ascii="Times New Roman" w:hAnsi="Times New Roman" w:cs="Times New Roman"/>
          <w:sz w:val="24"/>
          <w:szCs w:val="24"/>
        </w:rPr>
        <w:br w:type="page"/>
      </w:r>
    </w:p>
    <w:p w:rsidR="00764FD6" w:rsidRPr="00BD68EB" w:rsidRDefault="0037403F" w:rsidP="00BD68EB">
      <w:pPr>
        <w:tabs>
          <w:tab w:val="left" w:pos="3015"/>
        </w:tabs>
        <w:spacing w:after="160" w:line="480" w:lineRule="auto"/>
        <w:jc w:val="center"/>
        <w:rPr>
          <w:rFonts w:ascii="Times New Roman" w:hAnsi="Times New Roman" w:cs="Times New Roman"/>
          <w:sz w:val="24"/>
          <w:szCs w:val="24"/>
        </w:rPr>
      </w:pPr>
      <w:r w:rsidRPr="00BD68EB">
        <w:rPr>
          <w:rFonts w:ascii="Times New Roman" w:hAnsi="Times New Roman" w:cs="Times New Roman"/>
          <w:sz w:val="24"/>
          <w:szCs w:val="24"/>
        </w:rPr>
        <w:lastRenderedPageBreak/>
        <w:t>References</w:t>
      </w:r>
    </w:p>
    <w:p w:rsidR="00BD68EB" w:rsidRPr="00BD68EB" w:rsidRDefault="00BD68EB" w:rsidP="00BD68EB">
      <w:pPr>
        <w:tabs>
          <w:tab w:val="left" w:pos="3015"/>
        </w:tabs>
        <w:spacing w:after="160" w:line="480" w:lineRule="auto"/>
        <w:ind w:left="1282" w:hanging="720"/>
        <w:rPr>
          <w:rFonts w:ascii="Times New Roman" w:hAnsi="Times New Roman" w:cs="Times New Roman"/>
          <w:sz w:val="24"/>
          <w:szCs w:val="24"/>
        </w:rPr>
      </w:pPr>
      <w:r w:rsidRPr="00BD68EB">
        <w:rPr>
          <w:rFonts w:ascii="Times New Roman" w:hAnsi="Times New Roman" w:cs="Times New Roman"/>
          <w:sz w:val="24"/>
          <w:szCs w:val="24"/>
        </w:rPr>
        <w:t>Feldman, R., Carter, E. W., Asmus, J., &amp; Brock, M. E. (2016). Presence, proximity, and peer interactions of adolescents with severe disabilities in general education classrooms. Exceptional Children, 82(2), 192-208.</w:t>
      </w:r>
    </w:p>
    <w:p w:rsidR="00BD68EB" w:rsidRPr="00BD68EB" w:rsidRDefault="00BD68EB" w:rsidP="00BD68EB">
      <w:pPr>
        <w:tabs>
          <w:tab w:val="left" w:pos="3015"/>
        </w:tabs>
        <w:spacing w:after="160" w:line="480" w:lineRule="auto"/>
        <w:ind w:left="1282" w:hanging="720"/>
        <w:rPr>
          <w:rFonts w:ascii="Times New Roman" w:hAnsi="Times New Roman" w:cs="Times New Roman"/>
          <w:sz w:val="24"/>
          <w:szCs w:val="24"/>
        </w:rPr>
      </w:pPr>
      <w:r w:rsidRPr="00BD68EB">
        <w:rPr>
          <w:rFonts w:ascii="Times New Roman" w:hAnsi="Times New Roman" w:cs="Times New Roman"/>
          <w:sz w:val="24"/>
          <w:szCs w:val="24"/>
        </w:rPr>
        <w:t>Kingsley, K., &amp;Mailloux, Z. (2013). Evidence for the effectiveness of different service delivery models in early intervention services. American Journal of Occupational Therapy, 67(4), 431-436.</w:t>
      </w:r>
    </w:p>
    <w:p w:rsidR="00BD68EB" w:rsidRPr="00BD68EB" w:rsidRDefault="00BD68EB" w:rsidP="00BD68EB">
      <w:pPr>
        <w:tabs>
          <w:tab w:val="left" w:pos="3015"/>
        </w:tabs>
        <w:spacing w:after="160" w:line="480" w:lineRule="auto"/>
        <w:ind w:left="1282" w:hanging="720"/>
        <w:rPr>
          <w:rFonts w:ascii="Times New Roman" w:hAnsi="Times New Roman" w:cs="Times New Roman"/>
          <w:sz w:val="24"/>
          <w:szCs w:val="24"/>
        </w:rPr>
      </w:pPr>
      <w:r w:rsidRPr="00BD68EB">
        <w:rPr>
          <w:rFonts w:ascii="Times New Roman" w:hAnsi="Times New Roman" w:cs="Times New Roman"/>
          <w:sz w:val="24"/>
          <w:szCs w:val="24"/>
        </w:rPr>
        <w:t>McDougall, J., Baldwin, P., Evans, J., Nichols, M., Etherington, N., &amp; Wright, V. (2016). Quality of life and self-determination: Youth with chronic health conditions make the connection. Applied research in quality of life, 11(2), 571-599.</w:t>
      </w:r>
    </w:p>
    <w:p w:rsidR="00873349" w:rsidRPr="00BD68EB" w:rsidRDefault="00873349" w:rsidP="00BD68EB">
      <w:pPr>
        <w:tabs>
          <w:tab w:val="left" w:pos="3015"/>
        </w:tabs>
        <w:spacing w:after="160" w:line="480" w:lineRule="auto"/>
        <w:ind w:left="567" w:firstLine="720"/>
        <w:rPr>
          <w:rFonts w:ascii="Times New Roman" w:hAnsi="Times New Roman" w:cs="Times New Roman"/>
          <w:sz w:val="24"/>
          <w:szCs w:val="24"/>
        </w:rPr>
      </w:pPr>
    </w:p>
    <w:p w:rsidR="0037403F" w:rsidRPr="00BD68EB" w:rsidRDefault="0037403F" w:rsidP="00BD68EB">
      <w:pPr>
        <w:tabs>
          <w:tab w:val="left" w:pos="3015"/>
        </w:tabs>
        <w:spacing w:after="160" w:line="480" w:lineRule="auto"/>
        <w:ind w:left="567" w:firstLine="720"/>
        <w:rPr>
          <w:rFonts w:ascii="Times New Roman" w:hAnsi="Times New Roman" w:cs="Times New Roman"/>
          <w:sz w:val="24"/>
          <w:szCs w:val="24"/>
        </w:rPr>
      </w:pPr>
    </w:p>
    <w:sectPr w:rsidR="0037403F" w:rsidRPr="00BD68EB" w:rsidSect="00AC54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50E0" w:rsidRDefault="00B950E0" w:rsidP="0023029A">
      <w:pPr>
        <w:spacing w:after="0" w:line="240" w:lineRule="auto"/>
      </w:pPr>
      <w:r>
        <w:separator/>
      </w:r>
    </w:p>
  </w:endnote>
  <w:endnote w:type="continuationSeparator" w:id="1">
    <w:p w:rsidR="00B950E0" w:rsidRDefault="00B950E0" w:rsidP="002302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50E0" w:rsidRDefault="00B950E0" w:rsidP="0023029A">
      <w:pPr>
        <w:spacing w:after="0" w:line="240" w:lineRule="auto"/>
      </w:pPr>
      <w:r>
        <w:separator/>
      </w:r>
    </w:p>
  </w:footnote>
  <w:footnote w:type="continuationSeparator" w:id="1">
    <w:p w:rsidR="00B950E0" w:rsidRDefault="00B950E0" w:rsidP="002302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29A" w:rsidRPr="0055472C" w:rsidRDefault="0023029A" w:rsidP="0023029A">
    <w:pPr>
      <w:tabs>
        <w:tab w:val="left" w:pos="3015"/>
      </w:tabs>
      <w:spacing w:line="480" w:lineRule="auto"/>
      <w:rPr>
        <w:rFonts w:ascii="Times New Roman" w:hAnsi="Times New Roman" w:cs="Times New Roman"/>
        <w:sz w:val="24"/>
        <w:szCs w:val="24"/>
      </w:rPr>
    </w:pPr>
    <w:r w:rsidRPr="0055472C">
      <w:rPr>
        <w:rFonts w:ascii="Times New Roman" w:hAnsi="Times New Roman" w:cs="Times New Roman"/>
        <w:sz w:val="24"/>
        <w:szCs w:val="24"/>
      </w:rPr>
      <w:t>SPECIAL EDUCATION EXPERIENCE</w:t>
    </w:r>
    <w:r w:rsidRPr="0055472C">
      <w:rPr>
        <w:rFonts w:ascii="Times New Roman" w:hAnsi="Times New Roman" w:cs="Times New Roman"/>
        <w:sz w:val="24"/>
        <w:szCs w:val="24"/>
      </w:rPr>
      <w:tab/>
    </w:r>
    <w:r w:rsidRPr="0055472C">
      <w:rPr>
        <w:rFonts w:ascii="Times New Roman" w:hAnsi="Times New Roman" w:cs="Times New Roman"/>
        <w:sz w:val="24"/>
        <w:szCs w:val="24"/>
      </w:rPr>
      <w:tab/>
    </w:r>
    <w:r w:rsidRPr="0055472C">
      <w:rPr>
        <w:rFonts w:ascii="Times New Roman" w:hAnsi="Times New Roman" w:cs="Times New Roman"/>
        <w:sz w:val="24"/>
        <w:szCs w:val="24"/>
      </w:rPr>
      <w:tab/>
    </w:r>
    <w:r w:rsidRPr="0055472C">
      <w:rPr>
        <w:rFonts w:ascii="Times New Roman" w:hAnsi="Times New Roman" w:cs="Times New Roman"/>
        <w:sz w:val="24"/>
        <w:szCs w:val="24"/>
      </w:rPr>
      <w:tab/>
    </w:r>
    <w:r w:rsidR="00AC54DB" w:rsidRPr="0055472C">
      <w:rPr>
        <w:rFonts w:ascii="Times New Roman" w:hAnsi="Times New Roman" w:cs="Times New Roman"/>
        <w:sz w:val="24"/>
        <w:szCs w:val="24"/>
      </w:rPr>
      <w:tab/>
    </w:r>
    <w:r w:rsidR="0055472C">
      <w:rPr>
        <w:rFonts w:ascii="Times New Roman" w:hAnsi="Times New Roman" w:cs="Times New Roman"/>
        <w:sz w:val="24"/>
        <w:szCs w:val="24"/>
      </w:rPr>
      <w:t xml:space="preserve">           </w:t>
    </w:r>
    <w:r w:rsidR="00AC54DB" w:rsidRPr="0055472C">
      <w:rPr>
        <w:rFonts w:ascii="Times New Roman" w:hAnsi="Times New Roman" w:cs="Times New Roman"/>
        <w:sz w:val="24"/>
        <w:szCs w:val="24"/>
      </w:rPr>
      <w:tab/>
    </w:r>
    <w:r w:rsidRPr="0055472C">
      <w:rPr>
        <w:rFonts w:ascii="Times New Roman" w:hAnsi="Times New Roman" w:cs="Times New Roman"/>
        <w:sz w:val="24"/>
        <w:szCs w:val="24"/>
      </w:rPr>
      <w:tab/>
    </w:r>
    <w:sdt>
      <w:sdtPr>
        <w:rPr>
          <w:rFonts w:ascii="Times New Roman" w:hAnsi="Times New Roman" w:cs="Times New Roman"/>
          <w:sz w:val="24"/>
          <w:szCs w:val="24"/>
        </w:rPr>
        <w:id w:val="-191695863"/>
        <w:docPartObj>
          <w:docPartGallery w:val="Page Numbers (Top of Page)"/>
          <w:docPartUnique/>
        </w:docPartObj>
      </w:sdtPr>
      <w:sdtEndPr>
        <w:rPr>
          <w:noProof/>
        </w:rPr>
      </w:sdtEndPr>
      <w:sdtContent>
        <w:r w:rsidR="009A2226" w:rsidRPr="0055472C">
          <w:rPr>
            <w:rFonts w:ascii="Times New Roman" w:hAnsi="Times New Roman" w:cs="Times New Roman"/>
            <w:sz w:val="24"/>
            <w:szCs w:val="24"/>
          </w:rPr>
          <w:fldChar w:fldCharType="begin"/>
        </w:r>
        <w:r w:rsidRPr="0055472C">
          <w:rPr>
            <w:rFonts w:ascii="Times New Roman" w:hAnsi="Times New Roman" w:cs="Times New Roman"/>
            <w:sz w:val="24"/>
            <w:szCs w:val="24"/>
          </w:rPr>
          <w:instrText xml:space="preserve"> PAGE   \* MERGEFORMAT </w:instrText>
        </w:r>
        <w:r w:rsidR="009A2226" w:rsidRPr="0055472C">
          <w:rPr>
            <w:rFonts w:ascii="Times New Roman" w:hAnsi="Times New Roman" w:cs="Times New Roman"/>
            <w:sz w:val="24"/>
            <w:szCs w:val="24"/>
          </w:rPr>
          <w:fldChar w:fldCharType="separate"/>
        </w:r>
        <w:r w:rsidR="0055472C">
          <w:rPr>
            <w:rFonts w:ascii="Times New Roman" w:hAnsi="Times New Roman" w:cs="Times New Roman"/>
            <w:noProof/>
            <w:sz w:val="24"/>
            <w:szCs w:val="24"/>
          </w:rPr>
          <w:t>2</w:t>
        </w:r>
        <w:r w:rsidR="009A2226" w:rsidRPr="0055472C">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4DB" w:rsidRDefault="00AC54DB" w:rsidP="00AC54DB">
    <w:pPr>
      <w:tabs>
        <w:tab w:val="left" w:pos="3015"/>
      </w:tabs>
      <w:spacing w:line="480" w:lineRule="auto"/>
    </w:pPr>
    <w:r>
      <w:rPr>
        <w:rFonts w:ascii="Times New Roman" w:hAnsi="Times New Roman" w:cs="Times New Roman"/>
        <w:sz w:val="24"/>
        <w:szCs w:val="24"/>
      </w:rPr>
      <w:t>Running Head: SPECIAL EDUCATION EXPERIENCE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3C4CEF"/>
    <w:multiLevelType w:val="hybridMultilevel"/>
    <w:tmpl w:val="51164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160D57"/>
    <w:rsid w:val="00001D22"/>
    <w:rsid w:val="00014807"/>
    <w:rsid w:val="00072B12"/>
    <w:rsid w:val="000B13AB"/>
    <w:rsid w:val="000D7436"/>
    <w:rsid w:val="000F13B3"/>
    <w:rsid w:val="000F7102"/>
    <w:rsid w:val="00105A25"/>
    <w:rsid w:val="001349B0"/>
    <w:rsid w:val="00154599"/>
    <w:rsid w:val="00160D57"/>
    <w:rsid w:val="00196D5A"/>
    <w:rsid w:val="001A7EF4"/>
    <w:rsid w:val="001C4F43"/>
    <w:rsid w:val="002214BF"/>
    <w:rsid w:val="0023029A"/>
    <w:rsid w:val="00266DC8"/>
    <w:rsid w:val="002E4E89"/>
    <w:rsid w:val="00315195"/>
    <w:rsid w:val="003307DC"/>
    <w:rsid w:val="003328AE"/>
    <w:rsid w:val="00343418"/>
    <w:rsid w:val="00366A39"/>
    <w:rsid w:val="00367BC2"/>
    <w:rsid w:val="0037403F"/>
    <w:rsid w:val="003A3BE1"/>
    <w:rsid w:val="003C5AC1"/>
    <w:rsid w:val="003D2A0E"/>
    <w:rsid w:val="003E4160"/>
    <w:rsid w:val="003E49DB"/>
    <w:rsid w:val="00454E22"/>
    <w:rsid w:val="004C464F"/>
    <w:rsid w:val="004F1B31"/>
    <w:rsid w:val="0052270A"/>
    <w:rsid w:val="0055472C"/>
    <w:rsid w:val="005668E9"/>
    <w:rsid w:val="00572A56"/>
    <w:rsid w:val="00585AE9"/>
    <w:rsid w:val="00595AEA"/>
    <w:rsid w:val="005B0EA6"/>
    <w:rsid w:val="005B4C55"/>
    <w:rsid w:val="005C0E09"/>
    <w:rsid w:val="005C64AD"/>
    <w:rsid w:val="005E366F"/>
    <w:rsid w:val="0066535F"/>
    <w:rsid w:val="0066758D"/>
    <w:rsid w:val="006D5935"/>
    <w:rsid w:val="006E5C84"/>
    <w:rsid w:val="00704014"/>
    <w:rsid w:val="00764FD6"/>
    <w:rsid w:val="00767525"/>
    <w:rsid w:val="00783068"/>
    <w:rsid w:val="007969A1"/>
    <w:rsid w:val="007E3654"/>
    <w:rsid w:val="00832A96"/>
    <w:rsid w:val="00873349"/>
    <w:rsid w:val="00896B68"/>
    <w:rsid w:val="008A6A80"/>
    <w:rsid w:val="008D6D33"/>
    <w:rsid w:val="00900029"/>
    <w:rsid w:val="00944E4F"/>
    <w:rsid w:val="00973457"/>
    <w:rsid w:val="00977AAB"/>
    <w:rsid w:val="00990964"/>
    <w:rsid w:val="00992DE2"/>
    <w:rsid w:val="009954C5"/>
    <w:rsid w:val="009A2226"/>
    <w:rsid w:val="009C4A62"/>
    <w:rsid w:val="009D1BB7"/>
    <w:rsid w:val="009F0C0A"/>
    <w:rsid w:val="009F614C"/>
    <w:rsid w:val="00A60DAF"/>
    <w:rsid w:val="00A73423"/>
    <w:rsid w:val="00A9259B"/>
    <w:rsid w:val="00AA45EB"/>
    <w:rsid w:val="00AB46DB"/>
    <w:rsid w:val="00AC54DB"/>
    <w:rsid w:val="00AF148C"/>
    <w:rsid w:val="00B47EDB"/>
    <w:rsid w:val="00B6214D"/>
    <w:rsid w:val="00B66E40"/>
    <w:rsid w:val="00B76F53"/>
    <w:rsid w:val="00B8083A"/>
    <w:rsid w:val="00B950E0"/>
    <w:rsid w:val="00BB6274"/>
    <w:rsid w:val="00BD68EB"/>
    <w:rsid w:val="00C06D84"/>
    <w:rsid w:val="00C654F0"/>
    <w:rsid w:val="00D2128B"/>
    <w:rsid w:val="00D65F58"/>
    <w:rsid w:val="00D8074E"/>
    <w:rsid w:val="00DA3635"/>
    <w:rsid w:val="00DC419B"/>
    <w:rsid w:val="00DD2873"/>
    <w:rsid w:val="00E0777D"/>
    <w:rsid w:val="00E512F8"/>
    <w:rsid w:val="00E90C0F"/>
    <w:rsid w:val="00EF58A2"/>
    <w:rsid w:val="00F3563C"/>
    <w:rsid w:val="00F418DA"/>
    <w:rsid w:val="00F43B7C"/>
    <w:rsid w:val="00F664B5"/>
    <w:rsid w:val="00F94708"/>
    <w:rsid w:val="00F955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160D57"/>
  </w:style>
  <w:style w:type="character" w:customStyle="1" w:styleId="txt-light-blue">
    <w:name w:val="txt-light-blue"/>
    <w:basedOn w:val="DefaultParagraphFont"/>
    <w:rsid w:val="00160D57"/>
  </w:style>
  <w:style w:type="paragraph" w:styleId="ListParagraph">
    <w:name w:val="List Paragraph"/>
    <w:basedOn w:val="Normal"/>
    <w:uiPriority w:val="34"/>
    <w:qFormat/>
    <w:rsid w:val="00977AAB"/>
    <w:pPr>
      <w:ind w:left="720"/>
      <w:contextualSpacing/>
    </w:pPr>
  </w:style>
  <w:style w:type="paragraph" w:styleId="Header">
    <w:name w:val="header"/>
    <w:basedOn w:val="Normal"/>
    <w:link w:val="HeaderChar"/>
    <w:uiPriority w:val="99"/>
    <w:unhideWhenUsed/>
    <w:rsid w:val="002302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29A"/>
  </w:style>
  <w:style w:type="paragraph" w:styleId="Footer">
    <w:name w:val="footer"/>
    <w:basedOn w:val="Normal"/>
    <w:link w:val="FooterChar"/>
    <w:uiPriority w:val="99"/>
    <w:unhideWhenUsed/>
    <w:rsid w:val="002302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29A"/>
  </w:style>
  <w:style w:type="paragraph" w:styleId="NormalWeb">
    <w:name w:val="Normal (Web)"/>
    <w:basedOn w:val="Normal"/>
    <w:uiPriority w:val="99"/>
    <w:semiHidden/>
    <w:unhideWhenUsed/>
    <w:rsid w:val="00BD68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68EB"/>
    <w:rPr>
      <w:b/>
      <w:bCs/>
    </w:rPr>
  </w:style>
</w:styles>
</file>

<file path=word/webSettings.xml><?xml version="1.0" encoding="utf-8"?>
<w:webSettings xmlns:r="http://schemas.openxmlformats.org/officeDocument/2006/relationships" xmlns:w="http://schemas.openxmlformats.org/wordprocessingml/2006/main">
  <w:divs>
    <w:div w:id="1127503397">
      <w:bodyDiv w:val="1"/>
      <w:marLeft w:val="0"/>
      <w:marRight w:val="0"/>
      <w:marTop w:val="0"/>
      <w:marBottom w:val="0"/>
      <w:divBdr>
        <w:top w:val="none" w:sz="0" w:space="0" w:color="auto"/>
        <w:left w:val="none" w:sz="0" w:space="0" w:color="auto"/>
        <w:bottom w:val="none" w:sz="0" w:space="0" w:color="auto"/>
        <w:right w:val="none" w:sz="0" w:space="0" w:color="auto"/>
      </w:divBdr>
    </w:div>
    <w:div w:id="1492216711">
      <w:bodyDiv w:val="1"/>
      <w:marLeft w:val="0"/>
      <w:marRight w:val="0"/>
      <w:marTop w:val="0"/>
      <w:marBottom w:val="0"/>
      <w:divBdr>
        <w:top w:val="none" w:sz="0" w:space="0" w:color="auto"/>
        <w:left w:val="none" w:sz="0" w:space="0" w:color="auto"/>
        <w:bottom w:val="none" w:sz="0" w:space="0" w:color="auto"/>
        <w:right w:val="none" w:sz="0" w:space="0" w:color="auto"/>
      </w:divBdr>
      <w:divsChild>
        <w:div w:id="862673300">
          <w:marLeft w:val="0"/>
          <w:marRight w:val="0"/>
          <w:marTop w:val="0"/>
          <w:marBottom w:val="0"/>
          <w:divBdr>
            <w:top w:val="none" w:sz="0" w:space="0" w:color="auto"/>
            <w:left w:val="none" w:sz="0" w:space="0" w:color="auto"/>
            <w:bottom w:val="none" w:sz="0" w:space="0" w:color="auto"/>
            <w:right w:val="none" w:sz="0" w:space="0" w:color="auto"/>
          </w:divBdr>
          <w:divsChild>
            <w:div w:id="993535257">
              <w:marLeft w:val="0"/>
              <w:marRight w:val="0"/>
              <w:marTop w:val="0"/>
              <w:marBottom w:val="0"/>
              <w:divBdr>
                <w:top w:val="none" w:sz="0" w:space="0" w:color="auto"/>
                <w:left w:val="none" w:sz="0" w:space="0" w:color="auto"/>
                <w:bottom w:val="none" w:sz="0" w:space="0" w:color="auto"/>
                <w:right w:val="none" w:sz="0" w:space="0" w:color="auto"/>
              </w:divBdr>
            </w:div>
          </w:divsChild>
        </w:div>
        <w:div w:id="1936134045">
          <w:marLeft w:val="0"/>
          <w:marRight w:val="0"/>
          <w:marTop w:val="0"/>
          <w:marBottom w:val="0"/>
          <w:divBdr>
            <w:top w:val="none" w:sz="0" w:space="0" w:color="auto"/>
            <w:left w:val="none" w:sz="0" w:space="0" w:color="auto"/>
            <w:bottom w:val="none" w:sz="0" w:space="0" w:color="auto"/>
            <w:right w:val="none" w:sz="0" w:space="0" w:color="auto"/>
          </w:divBdr>
          <w:divsChild>
            <w:div w:id="842160040">
              <w:marLeft w:val="0"/>
              <w:marRight w:val="0"/>
              <w:marTop w:val="0"/>
              <w:marBottom w:val="0"/>
              <w:divBdr>
                <w:top w:val="none" w:sz="0" w:space="0" w:color="auto"/>
                <w:left w:val="none" w:sz="0" w:space="0" w:color="auto"/>
                <w:bottom w:val="none" w:sz="0" w:space="0" w:color="auto"/>
                <w:right w:val="none" w:sz="0" w:space="0" w:color="auto"/>
              </w:divBdr>
            </w:div>
          </w:divsChild>
        </w:div>
        <w:div w:id="869535528">
          <w:marLeft w:val="0"/>
          <w:marRight w:val="0"/>
          <w:marTop w:val="0"/>
          <w:marBottom w:val="0"/>
          <w:divBdr>
            <w:top w:val="none" w:sz="0" w:space="0" w:color="auto"/>
            <w:left w:val="none" w:sz="0" w:space="0" w:color="auto"/>
            <w:bottom w:val="none" w:sz="0" w:space="0" w:color="auto"/>
            <w:right w:val="none" w:sz="0" w:space="0" w:color="auto"/>
          </w:divBdr>
          <w:divsChild>
            <w:div w:id="101875118">
              <w:marLeft w:val="0"/>
              <w:marRight w:val="0"/>
              <w:marTop w:val="0"/>
              <w:marBottom w:val="0"/>
              <w:divBdr>
                <w:top w:val="none" w:sz="0" w:space="0" w:color="auto"/>
                <w:left w:val="none" w:sz="0" w:space="0" w:color="auto"/>
                <w:bottom w:val="none" w:sz="0" w:space="0" w:color="auto"/>
                <w:right w:val="none" w:sz="0" w:space="0" w:color="auto"/>
              </w:divBdr>
            </w:div>
          </w:divsChild>
        </w:div>
        <w:div w:id="1524708318">
          <w:marLeft w:val="0"/>
          <w:marRight w:val="0"/>
          <w:marTop w:val="0"/>
          <w:marBottom w:val="0"/>
          <w:divBdr>
            <w:top w:val="none" w:sz="0" w:space="0" w:color="auto"/>
            <w:left w:val="none" w:sz="0" w:space="0" w:color="auto"/>
            <w:bottom w:val="none" w:sz="0" w:space="0" w:color="auto"/>
            <w:right w:val="none" w:sz="0" w:space="0" w:color="auto"/>
          </w:divBdr>
          <w:divsChild>
            <w:div w:id="684596495">
              <w:marLeft w:val="0"/>
              <w:marRight w:val="0"/>
              <w:marTop w:val="0"/>
              <w:marBottom w:val="0"/>
              <w:divBdr>
                <w:top w:val="none" w:sz="0" w:space="0" w:color="auto"/>
                <w:left w:val="none" w:sz="0" w:space="0" w:color="auto"/>
                <w:bottom w:val="none" w:sz="0" w:space="0" w:color="auto"/>
                <w:right w:val="none" w:sz="0" w:space="0" w:color="auto"/>
              </w:divBdr>
              <w:divsChild>
                <w:div w:id="11823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2605</Words>
  <Characters>14850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2019-09-10T19:42:00Z</dcterms:created>
  <dcterms:modified xsi:type="dcterms:W3CDTF">2019-09-10T19:42:00Z</dcterms:modified>
</cp:coreProperties>
</file>